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DD23" w14:textId="4262EF59" w:rsidR="003720CE" w:rsidRDefault="00375B58">
      <w:r>
        <w:rPr>
          <w:rFonts w:ascii="Times New Roman" w:hAnsi="Times New Roman" w:cs="Times New Roman"/>
          <w:noProof/>
          <w:color w:val="333333"/>
          <w:shd w:val="clear" w:color="auto" w:fill="FFFFFF"/>
        </w:rPr>
        <w:drawing>
          <wp:inline distT="0" distB="0" distL="0" distR="0" wp14:anchorId="07A14BBD" wp14:editId="11B454F4">
            <wp:extent cx="5731510" cy="2400491"/>
            <wp:effectExtent l="0" t="0" r="0" b="0"/>
            <wp:docPr id="1611868090" name="Picture 1" descr="A x-ray of a person's ch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868090" name="Picture 1" descr="A x-ray of a person's ches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45A0" w14:textId="2148C9C3" w:rsidR="00375B58" w:rsidRDefault="00375B58" w:rsidP="00375B58">
      <w:pPr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0D41CE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Фиг. </w:t>
      </w:r>
      <w:r w:rsidR="00A16DF1" w:rsidRPr="00A16DF1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ru-RU"/>
        </w:rPr>
        <w:t>3</w:t>
      </w:r>
      <w:r w:rsidRPr="000D41CE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</w:t>
      </w:r>
      <w:r w:rsidRPr="000D41CE">
        <w:rPr>
          <w:rFonts w:ascii="Times New Roman" w:hAnsi="Times New Roman" w:cs="Times New Roman"/>
          <w:b/>
          <w:bCs/>
          <w:i/>
          <w:iCs/>
          <w:lang w:val="bg-BG"/>
        </w:rPr>
        <w:t>Референтни линии за горна челюст, служещи ни за ориентири при измерване</w:t>
      </w:r>
    </w:p>
    <w:p w14:paraId="688512D4" w14:textId="5AEBF991" w:rsidR="00375B58" w:rsidRDefault="00375B58"/>
    <w:p w14:paraId="7DABE07C" w14:textId="77777777" w:rsidR="00375B58" w:rsidRDefault="00375B58" w:rsidP="00375B58">
      <w:pPr>
        <w:jc w:val="both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>
        <w:rPr>
          <w:noProof/>
        </w:rPr>
        <w:drawing>
          <wp:inline distT="0" distB="0" distL="0" distR="0" wp14:anchorId="53D882D4" wp14:editId="59FE7A76">
            <wp:extent cx="5784574" cy="2618694"/>
            <wp:effectExtent l="0" t="0" r="0" b="0"/>
            <wp:docPr id="1023241654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241654" name="Picture 2" descr="A screenshot of a computer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3" t="10881" r="14337" b="31841"/>
                    <a:stretch/>
                  </pic:blipFill>
                  <pic:spPr bwMode="auto">
                    <a:xfrm>
                      <a:off x="0" y="0"/>
                      <a:ext cx="5912119" cy="2676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FE6DD" w14:textId="3767D14C" w:rsidR="00375B58" w:rsidRDefault="00375B58" w:rsidP="00375B58">
      <w:pPr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0D41CE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Фиг. </w:t>
      </w:r>
      <w:r w:rsidR="00A16DF1" w:rsidRPr="00A16DF1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ru-RU"/>
        </w:rPr>
        <w:t>4</w:t>
      </w:r>
      <w:r w:rsidRPr="000D41CE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</w:t>
      </w:r>
      <w:r w:rsidRPr="000D41CE">
        <w:rPr>
          <w:rFonts w:ascii="Times New Roman" w:hAnsi="Times New Roman" w:cs="Times New Roman"/>
          <w:b/>
          <w:bCs/>
          <w:i/>
          <w:iCs/>
          <w:lang w:val="bg-BG"/>
        </w:rPr>
        <w:t xml:space="preserve">Референтни линии за </w:t>
      </w:r>
      <w:r>
        <w:rPr>
          <w:rFonts w:ascii="Times New Roman" w:hAnsi="Times New Roman" w:cs="Times New Roman"/>
          <w:b/>
          <w:bCs/>
          <w:i/>
          <w:iCs/>
          <w:lang w:val="bg-BG"/>
        </w:rPr>
        <w:t>долна</w:t>
      </w:r>
      <w:r w:rsidRPr="000D41CE">
        <w:rPr>
          <w:rFonts w:ascii="Times New Roman" w:hAnsi="Times New Roman" w:cs="Times New Roman"/>
          <w:b/>
          <w:bCs/>
          <w:i/>
          <w:iCs/>
          <w:lang w:val="bg-BG"/>
        </w:rPr>
        <w:t xml:space="preserve"> челюст, служещи ни за ориентири при измерване</w:t>
      </w:r>
    </w:p>
    <w:p w14:paraId="29D225D7" w14:textId="302AEB99" w:rsidR="00375B58" w:rsidRDefault="00375B58"/>
    <w:p w14:paraId="799D1F3A" w14:textId="77777777" w:rsidR="00375B58" w:rsidRDefault="00375B58"/>
    <w:p w14:paraId="35459F99" w14:textId="4E455817" w:rsidR="00375B58" w:rsidRDefault="00375B58">
      <w:r>
        <w:rPr>
          <w:rFonts w:ascii="Times New Roman" w:hAnsi="Times New Roman" w:cs="Times New Roman"/>
          <w:noProof/>
        </w:rPr>
        <w:drawing>
          <wp:inline distT="0" distB="0" distL="0" distR="0" wp14:anchorId="21E120D7" wp14:editId="54B595EC">
            <wp:extent cx="2331594" cy="1906908"/>
            <wp:effectExtent l="0" t="0" r="12065" b="17145"/>
            <wp:docPr id="36112846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lang w:val="bg-BG"/>
        </w:rPr>
        <w:t xml:space="preserve">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4876B244" wp14:editId="1ADE0D20">
            <wp:extent cx="3148965" cy="1896745"/>
            <wp:effectExtent l="0" t="0" r="13335" b="8255"/>
            <wp:docPr id="1375516221" name="Ди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EBEE453" w14:textId="46CD6419" w:rsidR="00375B58" w:rsidRDefault="00375B58">
      <w:pP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    Фиг. </w:t>
      </w:r>
      <w:r w:rsidR="00A16DF1" w:rsidRPr="00A16DF1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ru-RU"/>
        </w:rPr>
        <w:t>1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Разпределение по пол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ab/>
        <w:t xml:space="preserve">                    Фиг. </w:t>
      </w:r>
      <w:r w:rsidR="00A16DF1" w:rsidRPr="00A16DF1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ru-RU"/>
        </w:rPr>
        <w:t>2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Разпределение по възраст</w:t>
      </w:r>
    </w:p>
    <w:p w14:paraId="2BB677CB" w14:textId="121E7520" w:rsidR="00375B58" w:rsidRDefault="00375B58">
      <w:pP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</w:p>
    <w:p w14:paraId="357FFFF4" w14:textId="2F66C274" w:rsidR="00375B58" w:rsidRDefault="00375B58">
      <w:pP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</w:p>
    <w:p w14:paraId="143EAC3E" w14:textId="447D897E" w:rsidR="00375B58" w:rsidRDefault="00375B58" w:rsidP="00A16DF1">
      <w:pPr>
        <w:contextualSpacing/>
        <w:jc w:val="both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 w:rsidRPr="001E2CDB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lastRenderedPageBreak/>
        <w:t>Табл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</w:rPr>
        <w:t>.1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Сравнителен анализ на средните стойности на височината на алвеоларната кост в различните зони по пол</w:t>
      </w:r>
    </w:p>
    <w:p w14:paraId="3A49F756" w14:textId="77777777" w:rsidR="00A16DF1" w:rsidRDefault="00A16DF1" w:rsidP="00375B58">
      <w:pPr>
        <w:contextualSpacing/>
        <w:rPr>
          <w:noProof/>
        </w:rPr>
      </w:pPr>
    </w:p>
    <w:p w14:paraId="64709C2E" w14:textId="2BAAB9BA" w:rsidR="00A16DF1" w:rsidRPr="00A16DF1" w:rsidRDefault="00A16DF1" w:rsidP="00A16DF1">
      <w:pPr>
        <w:contextualSpacing/>
      </w:pPr>
      <w:r>
        <w:rPr>
          <w:noProof/>
        </w:rPr>
        <w:drawing>
          <wp:inline distT="0" distB="0" distL="0" distR="0" wp14:anchorId="7E554B74" wp14:editId="60BBAC62">
            <wp:extent cx="5731510" cy="3422015"/>
            <wp:effectExtent l="0" t="0" r="2540" b="6985"/>
            <wp:docPr id="115211703" name="Picture 3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11703" name="Picture 3" descr="A table of numbers and letter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EDB23" w14:textId="1AD12477" w:rsidR="00375B58" w:rsidRDefault="00375B58" w:rsidP="00375B58">
      <w:pPr>
        <w:contextualSpacing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</w:pPr>
      <w:r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Легенда: </w:t>
      </w:r>
      <w:r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SD</w:t>
      </w:r>
      <w:r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–</w:t>
      </w:r>
      <w:r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стандартно отклонение; ГЧ – горна челюст; ДЧ – долна челюст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; 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L</w:t>
      </w:r>
      <w:r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>–</w:t>
      </w:r>
      <w:r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ляво; 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R</w:t>
      </w:r>
      <w:r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- </w:t>
      </w:r>
      <w:r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дясно</w:t>
      </w:r>
    </w:p>
    <w:p w14:paraId="3B8E520B" w14:textId="5DEE3E38" w:rsidR="00C30B6F" w:rsidRDefault="00C30B6F" w:rsidP="00375B58">
      <w:pPr>
        <w:contextualSpacing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</w:pPr>
    </w:p>
    <w:p w14:paraId="17D5DC76" w14:textId="027766D9" w:rsidR="00C30B6F" w:rsidRDefault="00C30B6F" w:rsidP="00375B58">
      <w:pPr>
        <w:contextualSpacing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</w:pPr>
    </w:p>
    <w:p w14:paraId="61F14A37" w14:textId="77777777" w:rsidR="00C30B6F" w:rsidRPr="00A16DF1" w:rsidRDefault="00C30B6F" w:rsidP="00C30B6F">
      <w:pPr>
        <w:contextualSpacing/>
        <w:jc w:val="both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ru-RU"/>
        </w:rPr>
      </w:pPr>
      <w:r w:rsidRPr="001E2CDB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Табл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</w:rPr>
        <w:t>.2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Сравнителен анализ на средните стойности на височината на алвеоларната кост в различните зони по възрастова група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</w:rPr>
        <w:t>.</w:t>
      </w:r>
    </w:p>
    <w:p w14:paraId="6950A3A6" w14:textId="10803E5C" w:rsidR="00375B58" w:rsidRDefault="00375B58"/>
    <w:p w14:paraId="5DA421A1" w14:textId="76E9B4BD" w:rsidR="00C30B6F" w:rsidRPr="00E36926" w:rsidRDefault="00A16DF1" w:rsidP="00A16DF1">
      <w:pPr>
        <w:jc w:val="center"/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</w:pPr>
      <w:r>
        <w:rPr>
          <w:rFonts w:ascii="Times New Roman" w:hAnsi="Times New Roman" w:cs="Times New Roman"/>
          <w:i/>
          <w:iCs/>
          <w:noProof/>
          <w:color w:val="333333"/>
          <w:shd w:val="clear" w:color="auto" w:fill="FFFFFF"/>
          <w:lang w:val="bg-BG"/>
        </w:rPr>
        <w:drawing>
          <wp:inline distT="0" distB="0" distL="0" distR="0" wp14:anchorId="2A0B2DE3" wp14:editId="5D8CA02D">
            <wp:extent cx="6150055" cy="2826327"/>
            <wp:effectExtent l="0" t="0" r="3175" b="0"/>
            <wp:docPr id="962752545" name="Picture 4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52545" name="Picture 4" descr="A table with numbers and letter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547" cy="283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0B6F"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Легенда: </w:t>
      </w:r>
      <w:r w:rsidR="00C30B6F"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SD</w:t>
      </w:r>
      <w:r w:rsidR="00C30B6F"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="00C30B6F"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–</w:t>
      </w:r>
      <w:r w:rsidR="00C30B6F"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="00C30B6F" w:rsidRPr="001520C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стандартно отклонение; ГЧ – горна челюст; ДЧ – долна челюст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; 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L</w:t>
      </w:r>
      <w:r w:rsidR="00C30B6F"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>–</w:t>
      </w:r>
      <w:r w:rsidR="00C30B6F"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 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 xml:space="preserve">ляво; 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</w:rPr>
        <w:t>R</w:t>
      </w:r>
      <w:r w:rsidR="00C30B6F" w:rsidRPr="007B3D7E">
        <w:rPr>
          <w:rFonts w:ascii="Times New Roman" w:hAnsi="Times New Roman" w:cs="Times New Roman"/>
          <w:i/>
          <w:iCs/>
          <w:color w:val="333333"/>
          <w:shd w:val="clear" w:color="auto" w:fill="FFFFFF"/>
          <w:lang w:val="ru-RU"/>
        </w:rPr>
        <w:t xml:space="preserve">- </w:t>
      </w:r>
      <w:r w:rsidR="00C30B6F">
        <w:rPr>
          <w:rFonts w:ascii="Times New Roman" w:hAnsi="Times New Roman" w:cs="Times New Roman"/>
          <w:i/>
          <w:iCs/>
          <w:color w:val="333333"/>
          <w:shd w:val="clear" w:color="auto" w:fill="FFFFFF"/>
          <w:lang w:val="bg-BG"/>
        </w:rPr>
        <w:t>дясно</w:t>
      </w:r>
    </w:p>
    <w:p w14:paraId="22E50E4B" w14:textId="2ED0B816" w:rsidR="00C30B6F" w:rsidRDefault="00C30B6F" w:rsidP="00C30B6F"/>
    <w:p w14:paraId="1832F598" w14:textId="76047446" w:rsidR="009E7D5A" w:rsidRDefault="009E7D5A" w:rsidP="00C30B6F"/>
    <w:p w14:paraId="23ED9A24" w14:textId="7FD8AD9A" w:rsidR="009E7D5A" w:rsidRDefault="009E7D5A" w:rsidP="00C30B6F"/>
    <w:p w14:paraId="3688F29E" w14:textId="34021C97" w:rsidR="009E7D5A" w:rsidRDefault="009E7D5A" w:rsidP="009E7D5A"/>
    <w:p w14:paraId="0BF71B79" w14:textId="1515BC05" w:rsidR="009E7D5A" w:rsidRDefault="009E7D5A" w:rsidP="009E7D5A"/>
    <w:p w14:paraId="7DDAB5D9" w14:textId="77777777" w:rsidR="003C7CF9" w:rsidRDefault="003C7CF9" w:rsidP="009E7D5A"/>
    <w:p w14:paraId="7FFF1DB8" w14:textId="79241D64" w:rsidR="009E7D5A" w:rsidRDefault="009E7D5A" w:rsidP="009E7D5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9E7D5A" w14:paraId="1E7CC71A" w14:textId="77777777" w:rsidTr="009E7D5A">
        <w:tc>
          <w:tcPr>
            <w:tcW w:w="4675" w:type="dxa"/>
          </w:tcPr>
          <w:p w14:paraId="05CDC047" w14:textId="77777777" w:rsidR="009E7D5A" w:rsidRDefault="009E7D5A" w:rsidP="00220F60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32872AC" wp14:editId="51E9207A">
                  <wp:extent cx="3061285" cy="2021426"/>
                  <wp:effectExtent l="0" t="0" r="0" b="0"/>
                  <wp:docPr id="5" name="Picture 5" descr="A graph with blue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graph with blue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797"/>
                          <a:stretch/>
                        </pic:blipFill>
                        <pic:spPr bwMode="auto">
                          <a:xfrm>
                            <a:off x="0" y="0"/>
                            <a:ext cx="3120868" cy="206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1561552" w14:textId="77777777" w:rsidR="009E7D5A" w:rsidRDefault="009E7D5A" w:rsidP="00220F60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A96065" wp14:editId="2E1AB6F2">
                  <wp:extent cx="3061283" cy="2021426"/>
                  <wp:effectExtent l="0" t="0" r="0" b="0"/>
                  <wp:docPr id="6" name="Picture 6" descr="A graph with blue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aph with blue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797"/>
                          <a:stretch/>
                        </pic:blipFill>
                        <pic:spPr bwMode="auto">
                          <a:xfrm>
                            <a:off x="0" y="0"/>
                            <a:ext cx="3104809" cy="2050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F01E5" w14:textId="77777777" w:rsidR="009E7D5A" w:rsidRPr="00E554B7" w:rsidRDefault="009E7D5A" w:rsidP="009E7D5A">
      <w:pPr>
        <w:jc w:val="center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 w:rsidRPr="00456B6B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Фиг.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5 Представяне на зависимостта между възраст и</w:t>
      </w:r>
      <w:r w:rsidRPr="00456B6B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 xml:space="preserve"> височина на алвеоларната кост 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в областта на премоларите на долна челюст</w:t>
      </w:r>
    </w:p>
    <w:p w14:paraId="798887C6" w14:textId="043ACE52" w:rsidR="009E7D5A" w:rsidRDefault="009E7D5A" w:rsidP="009E7D5A"/>
    <w:p w14:paraId="5F09DF8D" w14:textId="18D2142B" w:rsidR="009E7D5A" w:rsidRDefault="009E7D5A" w:rsidP="009E7D5A"/>
    <w:p w14:paraId="4C5ADD2E" w14:textId="77777777" w:rsidR="009E7D5A" w:rsidRDefault="009E7D5A" w:rsidP="009E7D5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E55579D" wp14:editId="17CCFD36">
            <wp:extent cx="2970355" cy="1958009"/>
            <wp:effectExtent l="0" t="0" r="1905" b="0"/>
            <wp:docPr id="12" name="Picture 12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with blue do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44"/>
                    <a:stretch/>
                  </pic:blipFill>
                  <pic:spPr bwMode="auto">
                    <a:xfrm>
                      <a:off x="0" y="0"/>
                      <a:ext cx="3022432" cy="199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9FB455F" wp14:editId="031D5831">
            <wp:extent cx="2723322" cy="1992026"/>
            <wp:effectExtent l="0" t="0" r="0" b="1905"/>
            <wp:docPr id="13" name="Picture 13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with blue do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76"/>
                    <a:stretch/>
                  </pic:blipFill>
                  <pic:spPr bwMode="auto">
                    <a:xfrm>
                      <a:off x="0" y="0"/>
                      <a:ext cx="2821507" cy="206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41DBA" w14:textId="77777777" w:rsidR="009E7D5A" w:rsidRDefault="009E7D5A" w:rsidP="009E7D5A">
      <w:pPr>
        <w:jc w:val="center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Фиг.6 Представяне на зависимостта на атрофията в областта на моларите на долна челюст и възрастта</w:t>
      </w:r>
    </w:p>
    <w:p w14:paraId="4E5C7755" w14:textId="4A5C7975" w:rsidR="009E7D5A" w:rsidRDefault="009E7D5A" w:rsidP="009E7D5A"/>
    <w:p w14:paraId="642FD8B4" w14:textId="77777777" w:rsidR="009E7D5A" w:rsidRDefault="009E7D5A" w:rsidP="009E7D5A">
      <w:pPr>
        <w:jc w:val="center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 w:rsidRPr="003F16C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79FB453" wp14:editId="14D57679">
            <wp:extent cx="4322445" cy="2951353"/>
            <wp:effectExtent l="0" t="0" r="0" b="0"/>
            <wp:docPr id="3" name="Picture 3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with blue do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34"/>
                    <a:stretch/>
                  </pic:blipFill>
                  <pic:spPr bwMode="auto">
                    <a:xfrm>
                      <a:off x="0" y="0"/>
                      <a:ext cx="4336818" cy="296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956B2" w14:textId="77777777" w:rsidR="009E7D5A" w:rsidRDefault="009E7D5A" w:rsidP="009E7D5A">
      <w:pPr>
        <w:jc w:val="center"/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</w:pPr>
      <w:r w:rsidRPr="00C95880"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Фиг.7 представяне на зависимостта между възраст и височина на алвеоларната кост в областта на молари на горна челюс</w:t>
      </w:r>
      <w:r>
        <w:rPr>
          <w:rFonts w:ascii="Times New Roman" w:hAnsi="Times New Roman" w:cs="Times New Roman"/>
          <w:b/>
          <w:bCs/>
          <w:i/>
          <w:iCs/>
          <w:color w:val="333333"/>
          <w:shd w:val="clear" w:color="auto" w:fill="FFFFFF"/>
          <w:lang w:val="bg-BG"/>
        </w:rPr>
        <w:t>т</w:t>
      </w:r>
    </w:p>
    <w:p w14:paraId="58AC4715" w14:textId="77777777" w:rsidR="009E7D5A" w:rsidRDefault="009E7D5A" w:rsidP="009E7D5A"/>
    <w:sectPr w:rsidR="009E7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58"/>
    <w:rsid w:val="003720CE"/>
    <w:rsid w:val="00375B58"/>
    <w:rsid w:val="003C7CF9"/>
    <w:rsid w:val="009E7D5A"/>
    <w:rsid w:val="00A16DF1"/>
    <w:rsid w:val="00C3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323F53"/>
  <w15:chartTrackingRefBased/>
  <w15:docId w15:val="{0C155026-D6E5-5C4E-A329-3F69E4B2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E7D5A"/>
    <w:rPr>
      <w:sz w:val="22"/>
      <w:szCs w:val="22"/>
      <w:lang w:val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9E7D5A"/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+mn-cs"/>
              </a:defRPr>
            </a:pPr>
            <a:r>
              <a:rPr lang="bg-BG" sz="1200" b="0" i="0" baseline="0">
                <a:latin typeface="Calibri" panose="020F0502020204030204" pitchFamily="34" charset="0"/>
                <a:cs typeface="Times New Roman" panose="02020603050405020304" pitchFamily="18" charset="0"/>
              </a:rPr>
              <a:t>Пол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</c:v>
                </c:pt>
              </c:strCache>
            </c:strRef>
          </c:tx>
          <c:dPt>
            <c:idx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2E-1042-8BF4-CD6DBFA985FC}"/>
              </c:ext>
            </c:extLst>
          </c:dPt>
          <c:dPt>
            <c:idx val="1"/>
            <c:bubble3D val="0"/>
            <c:spPr>
              <a:solidFill>
                <a:srgbClr val="00206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C2E-1042-8BF4-CD6DBFA985FC}"/>
              </c:ext>
            </c:extLst>
          </c:dPt>
          <c:dLbls>
            <c:dLbl>
              <c:idx val="0"/>
              <c:layout>
                <c:manualLayout>
                  <c:x val="-0.18580017459680792"/>
                  <c:y val="5.524344421982211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487C7090-2436-4AEC-9D64-AEA01A965466}" type="PERCENTAGE">
                      <a:rPr lang="en-US" sz="1000" baseline="0">
                        <a:solidFill>
                          <a:schemeClr val="bg1"/>
                        </a:solidFill>
                      </a:rPr>
                      <a:pPr>
                        <a:defRPr sz="1000" b="1"/>
                      </a:pPr>
                      <a:t>[PERCENTAGE]</a:t>
                    </a:fld>
                    <a:endParaRPr lang="bg-BG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C2E-1042-8BF4-CD6DBFA985FC}"/>
                </c:ext>
              </c:extLst>
            </c:dLbl>
            <c:dLbl>
              <c:idx val="1"/>
              <c:layout>
                <c:manualLayout>
                  <c:x val="0.17706261247444854"/>
                  <c:y val="-6.34009035583838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356C9DA-5CBC-4DED-A0B3-961940861F35}" type="PERCENTAGE">
                      <a:rPr lang="en-US" sz="1000" b="1" i="0" baseline="0">
                        <a:solidFill>
                          <a:schemeClr val="bg1"/>
                        </a:solidFill>
                      </a:rPr>
                      <a:pPr>
                        <a:defRPr sz="1000" b="1"/>
                      </a:pPr>
                      <a:t>[PERCENTAGE]</a:t>
                    </a:fld>
                    <a:endParaRPr lang="bg-BG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155468376314034"/>
                      <c:h val="8.610444673436798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C2E-1042-8BF4-CD6DBFA985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жени</c:v>
                </c:pt>
                <c:pt idx="1">
                  <c:v>мъже 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2"/>
                <c:pt idx="0">
                  <c:v>0.44400000000000001</c:v>
                </c:pt>
                <c:pt idx="1">
                  <c:v>0.55600000000000005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2E-1042-8BF4-CD6DBFA985F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1200" b="0" i="0" baseline="0"/>
              <a:t>Разпределение на изследваните лица по възрастови групи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C9D-B844-BB75-07DB5087A55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Възрастова група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9D-B844-BB75-07DB5087A55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г.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Възрастова група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C9D-B844-BB75-07DB5087A55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10 и повече г.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Възрастова група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9D-B844-BB75-07DB5087A55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009541792"/>
        <c:axId val="1077002912"/>
      </c:barChart>
      <c:catAx>
        <c:axId val="100954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077002912"/>
        <c:crosses val="autoZero"/>
        <c:auto val="1"/>
        <c:lblAlgn val="ctr"/>
        <c:lblOffset val="100"/>
        <c:noMultiLvlLbl val="0"/>
      </c:catAx>
      <c:valAx>
        <c:axId val="1077002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009541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2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 Gogushev</dc:creator>
  <cp:keywords/>
  <dc:description/>
  <cp:lastModifiedBy>Yordanka Shekerova</cp:lastModifiedBy>
  <cp:revision>5</cp:revision>
  <dcterms:created xsi:type="dcterms:W3CDTF">2023-10-24T18:51:00Z</dcterms:created>
  <dcterms:modified xsi:type="dcterms:W3CDTF">2023-10-25T07:38:00Z</dcterms:modified>
</cp:coreProperties>
</file>